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jc w:val="center"/>
      </w:pPr>
      <w:r>
        <w:rPr>
          <w:rFonts w:ascii="Arial" w:eastAsia="Microsoft YaHei" w:hAnsi="Arial"/>
          <w:b/>
          <w:bCs/>
          <w:color w:val="1A5276"/>
          <w:sz w:val="56"/>
          <w:szCs w:val="56"/>
        </w:rPr>
        <w:t xml:space="preserve">购物车数据分析报告</w:t>
      </w:r>
    </w:p>
    <w:p>
      <w:pPr>
        <w:spacing w:before="300"/>
        <w:jc w:val="center"/>
      </w:pPr>
      <w:r>
        <w:rPr>
          <w:rFonts w:ascii="Arial" w:eastAsia="Microsoft YaHei" w:hAnsi="Arial"/>
          <w:color w:val="5D6D7E"/>
          <w:sz w:val="28"/>
          <w:szCs w:val="28"/>
        </w:rPr>
        <w:t xml:space="preserve">超市关联规则挖掘与业务洞察</w:t>
      </w:r>
    </w:p>
    <w:p>
      <w:pPr>
        <w:spacing w:before="1200"/>
      </w:pPr>
    </w:p>
    <w:p>
      <w:pPr>
        <w:jc w:val="center"/>
      </w:pPr>
      <w:r>
        <w:rPr>
          <w:rFonts w:ascii="Arial" w:eastAsia="Microsoft YaHei" w:hAnsi="Arial"/>
          <w:color w:val="7F8C8D"/>
          <w:sz w:val="22"/>
          <w:szCs w:val="22"/>
        </w:rPr>
        <w:t xml:space="preserve">基于 747 笔交易记录 | 38 个有效商品类别</w:t>
      </w:r>
    </w:p>
    <w:p>
      <w:pPr>
        <w:spacing w:before="200"/>
        <w:jc w:val="center"/>
      </w:pPr>
      <w:r>
        <w:rPr>
          <w:rFonts w:ascii="Arial" w:eastAsia="Microsoft YaHei" w:hAnsi="Arial"/>
          <w:color w:val="95A5A6"/>
          <w:sz w:val="20"/>
          <w:szCs w:val="20"/>
        </w:rPr>
        <w:t xml:space="preserve">分析日期：2026-05-07</w:t>
      </w:r>
    </w:p>
    <w:p>
      <w:r>
        <w:br w:type="page"/>
      </w:r>
    </w:p>
    <w:p>
      <w:pPr>
        <w:pStyle w:val="Heading1"/>
      </w:pPr>
      <w:r>
        <w:t xml:space="preserve">一、执行摘要</w:t>
      </w:r>
    </w:p>
    <w:p>
      <w:pPr>
        <w:spacing w:after="120" w:before="120"/>
      </w:pPr>
      <w:r>
        <w:rPr>
          <w:rFonts w:ascii="Arial" w:eastAsia="Microsoft YaHei" w:hAnsi="Arial"/>
          <w:sz w:val="22"/>
          <w:szCs w:val="22"/>
        </w:rPr>
        <w:t xml:space="preserve">本报告基于超市购物车交易数据，运用关联规则挖掘技术（Association Rule Mining）对 747 笔交易记录进行深入分析。数据涵盖 195 个商品类别，其中 38 个有效类别（购买频次≥10）纳入关联分析。通过计算支持度、置信度和提升度三大指标，共发现 543 条有意义的关联规则，为商品布局优化、交叉销售和促销策略提供数据支撑。</w:t>
      </w:r>
    </w:p>
    <w:p>
      <w:pPr>
        <w:pStyle w:val="Heading2"/>
      </w:pPr>
      <w:r>
        <w:t xml:space="preserve">关键指标一览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rPr>
          <w:cantSplit/>
        </w:trPr>
        <w:tc>
          <w:tcPr>
            <w:tcW w:type="dxa" w:w="3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指标</w:t>
            </w:r>
          </w:p>
        </w:tc>
        <w:tc>
          <w:tcPr>
            <w:tcW w:type="dxa" w:w="3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数值</w:t>
            </w:r>
          </w:p>
        </w:tc>
        <w:tc>
          <w:tcPr>
            <w:tcW w:type="dxa" w:w="3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总交易数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/>
                <w:bCs/>
                <w:color w:val="2E86AB"/>
                <w:sz w:val="20"/>
                <w:szCs w:val="20"/>
              </w:rPr>
              <w:t xml:space="preserve">747 笔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有效分析样本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有效商品类别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/>
                <w:bCs/>
                <w:color w:val="2E86AB"/>
                <w:sz w:val="20"/>
                <w:szCs w:val="20"/>
              </w:rPr>
              <w:t xml:space="preserve">38 个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购买频次≥10的品类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平均购物篮品类数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/>
                <w:bCs/>
                <w:color w:val="2E86AB"/>
                <w:sz w:val="20"/>
                <w:szCs w:val="20"/>
              </w:rPr>
              <w:t xml:space="preserve">4.8 类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中等复杂度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有意义关联规则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/>
                <w:bCs/>
                <w:color w:val="27AE60"/>
                <w:sz w:val="20"/>
                <w:szCs w:val="20"/>
              </w:rPr>
              <w:t xml:space="preserve">543 条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支持度&gt;1%，提升度&gt;1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最强关联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/>
                <w:bCs/>
                <w:color w:val="E74C3C"/>
                <w:sz w:val="20"/>
                <w:szCs w:val="20"/>
              </w:rPr>
              <w:t xml:space="preserve">果酒→清酒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提升度 = 6.38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二、数据概述</w:t>
      </w:r>
    </w:p>
    <w:p>
      <w:pPr>
        <w:pStyle w:val="Heading2"/>
      </w:pPr>
      <w:r>
        <w:t xml:space="preserve">2.1 数据集描述</w:t>
      </w:r>
    </w:p>
    <w:p>
      <w:pPr>
        <w:spacing w:after="100" w:before="100"/>
      </w:pPr>
      <w:r>
        <w:rPr>
          <w:rFonts w:ascii="Arial" w:eastAsia="Microsoft YaHei" w:hAnsi="Arial"/>
          <w:sz w:val="22"/>
          <w:szCs w:val="22"/>
        </w:rPr>
        <w:t xml:space="preserve">数据集为超市购物篮交易记录，采用二值矩阵格式存储，每行代表一笔交易，每列代表一个商品类别。“T”表示购买，“F”表示未购买。经过数据清洗，筛选出购买频次≥10的 38 个有效商品类别进行关联规则分析。</w:t>
      </w:r>
    </w:p>
    <w:p>
      <w:pPr>
        <w:pStyle w:val="Heading2"/>
      </w:pPr>
      <w:r>
        <w:t xml:space="preserve">2.2 商品购买频次 TOP10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600"/>
        <w:gridCol w:w="2100"/>
        <w:gridCol w:w="2100"/>
      </w:tblGrid>
      <w:tr>
        <w:trPr>
          <w:cantSplit/>
        </w:trPr>
        <w:tc>
          <w:tcPr>
            <w:tcW w:type="dxa" w:w="1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排名</w:t>
            </w:r>
          </w:p>
        </w:tc>
        <w:tc>
          <w:tcPr>
            <w:tcW w:type="dxa" w:w="36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商品类别</w:t>
            </w:r>
          </w:p>
        </w:tc>
        <w:tc>
          <w:tcPr>
            <w:tcW w:type="dxa" w:w="21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购买次数</w:t>
            </w:r>
          </w:p>
        </w:tc>
        <w:tc>
          <w:tcPr>
            <w:tcW w:type="dxa" w:w="21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购买率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74C3C"/>
                <w:sz w:val="20"/>
                <w:szCs w:val="20"/>
              </w:rPr>
              <w:t xml:space="preserve">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饮料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574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76.8%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67E22"/>
                <w:sz w:val="20"/>
                <w:szCs w:val="20"/>
              </w:rPr>
              <w:t xml:space="preserve">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散装休闲食品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375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50.2%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1C40F"/>
                <w:sz w:val="20"/>
                <w:szCs w:val="20"/>
              </w:rPr>
              <w:t xml:space="preserve">3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香烟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366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49.0%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常温熟食类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365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48.9%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进口食品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329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44.0%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糖果巧克力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327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43.8%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即食主食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276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36.9%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调味品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276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36.9%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饼干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248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33.2%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冷藏乳制品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248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33.2%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三、关联规则分析</w:t>
      </w:r>
    </w:p>
    <w:p>
      <w:pPr>
        <w:pStyle w:val="Heading2"/>
      </w:pPr>
      <w:r>
        <w:t xml:space="preserve">3.1 分析方法</w:t>
      </w:r>
    </w:p>
    <w:p>
      <w:pPr>
        <w:spacing w:after="60" w:before="100"/>
      </w:pPr>
      <w:r>
        <w:rPr>
          <w:rFonts w:ascii="Arial" w:eastAsia="Microsoft YaHei" w:hAnsi="Arial"/>
          <w:sz w:val="22"/>
          <w:szCs w:val="22"/>
        </w:rPr>
        <w:t xml:space="preserve">采用关联规则挖掘方法，对所有商品类别两两组合计算以下三个核心指标：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eastAsia="Microsoft YaHei" w:hAnsi="Arial"/>
          <w:sz w:val="22"/>
          <w:szCs w:val="22"/>
        </w:rPr>
        <w:t xml:space="preserve">支持度 (Support)：两个商品同时被购买的概率，反映规则的普遍程度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置信度 (Confidence)：购买了 A 的前提下购买 B 的概率，反映规则的可靠程度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eastAsia="Microsoft YaHei" w:hAnsi="Arial"/>
          <w:sz w:val="22"/>
          <w:szCs w:val="22"/>
        </w:rPr>
        <w:t xml:space="preserve">提升度 (Lift)：衡量两个商品关联强度，提升度&gt;1 表示正相关，数值越大关联越强</w:t>
      </w:r>
    </w:p>
    <w:p>
      <w:pPr>
        <w:pStyle w:val="Heading2"/>
      </w:pPr>
      <w:r>
        <w:t xml:space="preserve">3.2 可视化图表说明</w:t>
      </w:r>
    </w:p>
    <w:p>
      <w:pPr>
        <w:spacing w:after="100" w:before="100"/>
      </w:pPr>
      <w:r>
        <w:rPr>
          <w:rFonts w:ascii="Arial" w:eastAsia="Microsoft YaHei" w:hAnsi="Arial"/>
          <w:sz w:val="22"/>
          <w:szCs w:val="22"/>
        </w:rPr>
        <w:t xml:space="preserve">详细的可视化分析图表请参考随报告附带的 PNG 图片文件（购物车数据分析图表.png、购物车数据深度分析.png），包含：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eastAsia="Microsoft YaHei" w:hAnsi="Arial"/>
          <w:sz w:val="22"/>
          <w:szCs w:val="22"/>
        </w:rPr>
        <w:t xml:space="preserve">商品购买频次 TOP20 条形图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商品购买频次分布饼图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关联规则提升度 TOP15 条形图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支持度 vs 置信度散点图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商品关联热力图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TOP10 商品共现矩阵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eastAsia="Microsoft YaHei" w:hAnsi="Arial"/>
          <w:sz w:val="22"/>
          <w:szCs w:val="22"/>
        </w:rPr>
        <w:t xml:space="preserve">购物篮规模分布图</w:t>
      </w:r>
    </w:p>
    <w:p>
      <w:pPr>
        <w:pStyle w:val="Heading2"/>
      </w:pPr>
      <w:r>
        <w:t xml:space="preserve">3.3 TOP15 关联规则（按提升度排序）</w:t>
      </w:r>
    </w:p>
    <w:p>
      <w:pPr>
        <w:spacing w:after="120" w:before="100"/>
      </w:pPr>
      <w:r>
        <w:rPr>
          <w:rFonts w:ascii="Arial" w:eastAsia="Microsoft YaHei" w:hAnsi="Arial"/>
          <w:sz w:val="22"/>
          <w:szCs w:val="22"/>
        </w:rPr>
        <w:t xml:space="preserve">以下规则展示了最强的商品关联关系，代表了交叉销售和商品布局的重要机会：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2200"/>
        <w:gridCol w:w="1200"/>
        <w:gridCol w:w="1200"/>
        <w:gridCol w:w="1200"/>
      </w:tblGrid>
      <w:tr>
        <w:trPr>
          <w:cantSplit/>
        </w:trPr>
        <w:tc>
          <w:tcPr>
            <w:tcW w:type="dxa" w:w="8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前置商品</w:t>
            </w:r>
          </w:p>
        </w:tc>
        <w:tc>
          <w:tcPr>
            <w:tcW w:type="dxa" w:w="2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后置商品</w:t>
            </w:r>
          </w:p>
        </w:tc>
        <w:tc>
          <w:tcPr>
            <w:tcW w:type="dxa" w:w="1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支持度</w:t>
            </w:r>
          </w:p>
        </w:tc>
        <w:tc>
          <w:tcPr>
            <w:tcW w:type="dxa" w:w="1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置信度</w:t>
            </w:r>
          </w:p>
        </w:tc>
        <w:tc>
          <w:tcPr>
            <w:tcW w:type="dxa" w:w="1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提升度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果酒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清酒/配置酒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1.20%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14.52%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74C3C"/>
                <w:sz w:val="20"/>
                <w:szCs w:val="20"/>
              </w:rPr>
              <w:t xml:space="preserve">6.38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醋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油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1.87%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41.18%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74C3C"/>
                <w:sz w:val="20"/>
                <w:szCs w:val="20"/>
              </w:rPr>
              <w:t xml:space="preserve">4.88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冷冻肉食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冷冻面点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2.01%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39.47%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74C3C"/>
                <w:sz w:val="20"/>
                <w:szCs w:val="20"/>
              </w:rPr>
              <w:t xml:space="preserve">4.68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醋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1.34%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29.41%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67E22"/>
                <w:sz w:val="20"/>
                <w:szCs w:val="20"/>
              </w:rPr>
              <w:t xml:space="preserve">4.58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冷冻肉食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菜肴半成品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1.34%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26.32%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E67E22"/>
                <w:sz w:val="20"/>
                <w:szCs w:val="20"/>
              </w:rPr>
              <w:t xml:space="preserve">3.71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中式挂面/通心粉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酱油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1.07%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24.24%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3.55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油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1.87%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29.17%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3.46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面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冷藏熟食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1.34%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50.00%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3.43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醋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杂粮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2.41%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52.94%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3.11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醋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南北干货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2.28%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50.00%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3.01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冷冻面点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菜肴半成品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1.74%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20.63%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2.91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中式挂面/通心粉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炒货食品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2.54%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57.58%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2.85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杂粮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3.08%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47.92%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2.82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滋补保健品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2.95%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18.03%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2.81</w:t>
            </w:r>
          </w:p>
        </w:tc>
      </w:tr>
      <w:tr>
        <w:trPr>
          <w:cantSplit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南北干货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2.95%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17.74%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2.76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四、业务建议</w:t>
      </w:r>
    </w:p>
    <w:p>
      <w:pPr>
        <w:pStyle w:val="Heading2"/>
      </w:pPr>
      <w:r>
        <w:t xml:space="preserve">4.1 商品布局优化</w:t>
      </w:r>
    </w:p>
    <w:p>
      <w:pPr>
        <w:pStyle w:val="ListParagraph"/>
        <w:numPr>
          <w:ilvl w:val="0"/>
          <w:numId w:val="3"/>
        </w:numPr>
        <w:spacing w:after="60" w:before="80"/>
      </w:pPr>
      <w:r>
        <w:rPr>
          <w:rFonts w:ascii="Arial" w:eastAsia="Microsoft YaHei" w:hAnsi="Arial"/>
          <w:b/>
          <w:bCs/>
          <w:sz w:val="22"/>
          <w:szCs w:val="22"/>
        </w:rPr>
        <w:t xml:space="preserve">烹饪基础区：</w:t>
      </w:r>
      <w:r>
        <w:rPr>
          <w:rFonts w:ascii="Arial" w:eastAsia="Microsoft YaHei" w:hAnsi="Arial"/>
          <w:sz w:val="22"/>
          <w:szCs w:val="22"/>
        </w:rPr>
        <w:t xml:space="preserve">将米、油、醋、酱油集中摆放，这些商品之间的提升度达 3-5 倍，顾客购买其中一件时很可能顺手购买其他几件。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eastAsia="Microsoft YaHei" w:hAnsi="Arial"/>
          <w:b/>
          <w:bCs/>
          <w:sz w:val="22"/>
          <w:szCs w:val="22"/>
        </w:rPr>
        <w:t xml:space="preserve">冷冻食品区：</w:t>
      </w:r>
      <w:r>
        <w:rPr>
          <w:rFonts w:ascii="Arial" w:eastAsia="Microsoft YaHei" w:hAnsi="Arial"/>
          <w:sz w:val="22"/>
          <w:szCs w:val="22"/>
        </w:rPr>
        <w:t xml:space="preserve">将冷冻肉食、冷冻面点、菜肴半成品集中陈列，形成“冷冻一步到位”的购物场景。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eastAsia="Microsoft YaHei" w:hAnsi="Arial"/>
          <w:b/>
          <w:bCs/>
          <w:sz w:val="22"/>
          <w:szCs w:val="22"/>
        </w:rPr>
        <w:t xml:space="preserve">酒类专区：</w:t>
      </w:r>
      <w:r>
        <w:rPr>
          <w:rFonts w:ascii="Arial" w:eastAsia="Microsoft YaHei" w:hAnsi="Arial"/>
          <w:sz w:val="22"/>
          <w:szCs w:val="22"/>
        </w:rPr>
        <w:t xml:space="preserve">果酒与清酒的提升度高达 6.38，建议设立专区并做联动促销。</w:t>
      </w:r>
    </w:p>
    <w:p>
      <w:pPr>
        <w:pStyle w:val="Heading2"/>
        <w:spacing w:before="300"/>
      </w:pPr>
      <w:r>
        <w:t xml:space="preserve">4.2 交叉销售机会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600"/>
        <w:gridCol w:w="2400"/>
      </w:tblGrid>
      <w:tr>
        <w:trPr>
          <w:cantSplit/>
        </w:trPr>
        <w:tc>
          <w:tcPr>
            <w:tcW w:type="dxa" w:w="3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当顾客购买</w:t>
            </w:r>
          </w:p>
        </w:tc>
        <w:tc>
          <w:tcPr>
            <w:tcW w:type="dxa" w:w="36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建议推荐</w:t>
            </w:r>
          </w:p>
        </w:tc>
        <w:tc>
          <w:tcPr>
            <w:tcW w:type="dxa" w:w="24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FFFFFF"/>
                <w:sz w:val="20"/>
                <w:szCs w:val="20"/>
              </w:rPr>
              <w:t xml:space="preserve">置信度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中式挂面/通心粉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酱油、炒货食品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24.2% / 57.6%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醋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常温乳制品、干货、杂粮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58.8% / 53% / 52.9%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面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冷藏熟食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50.0%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米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eastAsia="Microsoft YaHei" w:hAnsi="Arial"/>
                <w:b w:val="false"/>
                <w:bCs w:val="false"/>
                <w:color w:val="333333"/>
                <w:sz w:val="20"/>
                <w:szCs w:val="20"/>
              </w:rPr>
              <w:t xml:space="preserve">杂粮、油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eastAsia="Microsoft YaHei" w:hAnsi="Arial"/>
                <w:b/>
                <w:bCs/>
                <w:color w:val="333333"/>
                <w:sz w:val="20"/>
                <w:szCs w:val="20"/>
              </w:rPr>
              <w:t xml:space="preserve">47.9% / 29.2%</w:t>
            </w:r>
          </w:p>
        </w:tc>
      </w:tr>
    </w:tbl>
    <w:p>
      <w:pPr>
        <w:pStyle w:val="Heading2"/>
        <w:spacing w:before="300"/>
      </w:pPr>
      <w:r>
        <w:t xml:space="preserve">4.3 促销策略建议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eastAsia="Microsoft YaHei" w:hAnsi="Arial"/>
          <w:sz w:val="22"/>
          <w:szCs w:val="22"/>
        </w:rPr>
        <w:t xml:space="preserve">烹饪基础捆绑：提供米+油+醋+酱油的组合优惠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冷冻美食方案：将冷冻肉食与面点、半成品打包销售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酒类搭配：果酒与清酒联动促销，提升客单价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eastAsia="Microsoft YaHei" w:hAnsi="Arial"/>
          <w:sz w:val="22"/>
          <w:szCs w:val="22"/>
        </w:rPr>
        <w:t xml:space="preserve">健康食品捆绑：滋补保健品与杂粮、醋邻近摆放</w:t>
      </w:r>
    </w:p>
    <w:p>
      <w:pPr>
        <w:pStyle w:val="Heading1"/>
      </w:pPr>
      <w:r>
        <w:t xml:space="preserve">五、结论</w:t>
      </w:r>
    </w:p>
    <w:p>
      <w:pPr>
        <w:spacing w:after="80" w:before="100"/>
      </w:pPr>
      <w:r>
        <w:rPr>
          <w:rFonts w:ascii="Arial" w:eastAsia="Microsoft YaHei" w:hAnsi="Arial"/>
          <w:sz w:val="22"/>
          <w:szCs w:val="22"/>
        </w:rPr>
        <w:t xml:space="preserve">本次分析基于 747 笔超市交易数据，揭示了 38 个有效商品类别的购买模式。核心发现包括：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eastAsia="Microsoft YaHei" w:hAnsi="Arial"/>
          <w:sz w:val="22"/>
          <w:szCs w:val="22"/>
        </w:rPr>
        <w:t xml:space="preserve">饮料是最高频购买品类（76.8%），其次是零食和熟食类商品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共发现 543 条有意义的关联规则，最强关联为果酒→清酒（提升度 6.38）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eastAsia="Microsoft YaHei" w:hAnsi="Arial"/>
          <w:sz w:val="22"/>
          <w:szCs w:val="22"/>
        </w:rPr>
        <w:t xml:space="preserve">烹饪基础用品（米、油、醋、酱油）展现强关联性，提升度 3-5 倍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eastAsia="Microsoft YaHei" w:hAnsi="Arial"/>
          <w:sz w:val="22"/>
          <w:szCs w:val="22"/>
        </w:rPr>
        <w:t xml:space="preserve">冷冻食品内部关联显著，肉食、面点、半成品可打包销售</w:t>
      </w:r>
    </w:p>
    <w:p>
      <w:pPr>
        <w:spacing w:after="200" w:before="120"/>
      </w:pPr>
      <w:r>
        <w:rPr>
          <w:rFonts w:ascii="Arial" w:eastAsia="Microsoft YaHei" w:hAnsi="Arial"/>
          <w:sz w:val="22"/>
          <w:szCs w:val="22"/>
        </w:rPr>
        <w:t xml:space="preserve">建议将以上洞察落实到门店布局优化、交叉销售推荐和促销活动设计中，预期可提升客单价和顾客满意度。</w:t>
      </w:r>
    </w:p>
    <w:p>
      <w:pPr>
        <w:spacing w:before="600"/>
        <w:jc w:val="center"/>
      </w:pPr>
      <w:r>
        <w:rPr>
          <w:rFonts w:ascii="Arial" w:eastAsia="Microsoft YaHei" w:hAnsi="Arial"/>
          <w:i/>
          <w:iCs/>
          <w:color w:val="999999"/>
          <w:sz w:val="20"/>
          <w:szCs w:val="20"/>
        </w:rPr>
        <w:t xml:space="preserve">—— 报告结束 ——</w:t>
      </w:r>
    </w:p>
    <w:sectPr>
      <w:headerReference w:type="default" r:id="rId11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第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eastAsia="Microsoft YaHei" w:hAnsi="Arial"/>
        <w:color w:val="999999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eastAsia="Microsoft YaHei" w:hAnsi="Arial"/>
        <w:color w:val="999999"/>
        <w:sz w:val="18"/>
        <w:szCs w:val="18"/>
      </w:rPr>
      <w:t xml:space="preserve">购物车数据分析报告</w:t>
    </w:r>
  </w:p>
</w:hdr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TRAE 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TRAE 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icrosoft YaHei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 w:val="false"/>
      <w:keepLines w:val="false"/>
      <w:spacing w:after="200" w:before="360"/>
      <w:outlineLvl w:val="0"/>
    </w:pPr>
    <w:rPr>
      <w:rFonts w:ascii="Arial" w:eastAsia="Microsoft YaHei" w:hAnsi="Arial"/>
      <w:b/>
      <w:bCs/>
      <w:color w:val="1A5276"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false"/>
      <w:keepLines w:val="false"/>
      <w:spacing w:after="140" w:before="280"/>
      <w:outlineLvl w:val="1"/>
    </w:pPr>
    <w:rPr>
      <w:rFonts w:ascii="Arial" w:eastAsia="Microsoft YaHei" w:hAnsi="Arial"/>
      <w:b/>
      <w:bCs/>
      <w:color w:val="2E86AB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header" Target="header_watermark.xml"/><Relationship Id="rId11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2026-05-07T08:07:38.087Z</dcterms:created>
  <dcterms:modified xsi:type="dcterms:W3CDTF">2026-05-07T08:07:38.089Z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